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8A2B81">
        <w:t xml:space="preserve"> </w:t>
      </w:r>
      <w:r w:rsidR="00667E9A">
        <w:t xml:space="preserve">TRIMESTRE </w:t>
      </w:r>
      <w:r w:rsidR="00642402">
        <w:t>2024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A725E2" w:rsidRPr="00A725E2">
        <w:t>22.053.653,12</w:t>
      </w:r>
      <w:r w:rsidR="00616957" w:rsidRPr="00D0346C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A725E2">
        <w:t>800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415F2"/>
    <w:rsid w:val="0059232B"/>
    <w:rsid w:val="005E3FFB"/>
    <w:rsid w:val="006035D6"/>
    <w:rsid w:val="00616957"/>
    <w:rsid w:val="006212EE"/>
    <w:rsid w:val="00642402"/>
    <w:rsid w:val="00667E9A"/>
    <w:rsid w:val="00681AF1"/>
    <w:rsid w:val="00743E41"/>
    <w:rsid w:val="00795876"/>
    <w:rsid w:val="007A7DE7"/>
    <w:rsid w:val="007F40FB"/>
    <w:rsid w:val="0080123B"/>
    <w:rsid w:val="008A2B81"/>
    <w:rsid w:val="008B379F"/>
    <w:rsid w:val="008B38E2"/>
    <w:rsid w:val="00911E2D"/>
    <w:rsid w:val="00916E25"/>
    <w:rsid w:val="0094313D"/>
    <w:rsid w:val="00A15F73"/>
    <w:rsid w:val="00A725E2"/>
    <w:rsid w:val="00AF377C"/>
    <w:rsid w:val="00B30162"/>
    <w:rsid w:val="00C13D00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8B473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17</cp:revision>
  <dcterms:created xsi:type="dcterms:W3CDTF">2022-04-29T08:06:00Z</dcterms:created>
  <dcterms:modified xsi:type="dcterms:W3CDTF">2024-04-30T14:15:00Z</dcterms:modified>
</cp:coreProperties>
</file>