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4503" w:rsidRDefault="00A34503" w:rsidP="00A34503">
      <w:r>
        <w:t>AMMO</w:t>
      </w:r>
      <w:r w:rsidR="00F45EEB">
        <w:t>NTARE COMPLESSIVO DEI DEBITI IV</w:t>
      </w:r>
      <w:r>
        <w:t xml:space="preserve"> TRIMESTRE 2017</w:t>
      </w:r>
    </w:p>
    <w:p w:rsidR="00A34503" w:rsidRDefault="00A34503" w:rsidP="00A34503"/>
    <w:p w:rsidR="00A34503" w:rsidRDefault="00A34503" w:rsidP="00A34503">
      <w:r>
        <w:t xml:space="preserve">Ai sensi dell'art.33 del D.lgs.n.33/2013 così come modificato dall'art.29 del D.lgs.25 maggio 2016 n. 97 si evidenzia, alla scadenza del trimestre, un ammontare complessivo dei debiti pari a </w:t>
      </w:r>
      <w:r w:rsidR="004646E4" w:rsidRPr="004646E4">
        <w:t>19.758.623,13</w:t>
      </w:r>
      <w:bookmarkStart w:id="0" w:name="_GoBack"/>
      <w:bookmarkEnd w:id="0"/>
      <w:r>
        <w:t xml:space="preserve">. Il numero </w:t>
      </w:r>
      <w:r w:rsidR="004646E4">
        <w:t>delle imprese creditrici è di 9</w:t>
      </w:r>
      <w:r>
        <w:t>8</w:t>
      </w:r>
      <w:r w:rsidR="004646E4">
        <w:t>4</w:t>
      </w:r>
      <w:r>
        <w:t xml:space="preserve">.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65BD9" w:rsidRDefault="00A34503" w:rsidP="00A3450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365BD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503"/>
    <w:rsid w:val="00365BD9"/>
    <w:rsid w:val="004646E4"/>
    <w:rsid w:val="00A34503"/>
    <w:rsid w:val="00B639C9"/>
    <w:rsid w:val="00F45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BA5455-191B-4FAA-8D2E-1BD6CD225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736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</Words>
  <Characters>273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Albertino Tomassi</dc:creator>
  <cp:keywords/>
  <dc:description/>
  <cp:lastModifiedBy>Claudio Montini</cp:lastModifiedBy>
  <cp:revision>4</cp:revision>
  <dcterms:created xsi:type="dcterms:W3CDTF">2018-02-01T08:35:00Z</dcterms:created>
  <dcterms:modified xsi:type="dcterms:W3CDTF">2018-02-01T08:38:00Z</dcterms:modified>
</cp:coreProperties>
</file>