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228D" w:rsidRDefault="00A7228D" w:rsidP="00A7228D">
      <w:r>
        <w:t>AMMONTARE COMPLESSIVO DEI DEBITI I TRIMESTRE 2018</w:t>
      </w:r>
    </w:p>
    <w:p w:rsidR="00A7228D" w:rsidRDefault="00A7228D" w:rsidP="00A7228D"/>
    <w:p w:rsidR="00FD61EA" w:rsidRDefault="00A7228D" w:rsidP="00A7228D">
      <w:r>
        <w:t>Ai sensi dell'art.33 del D.lgs.n.33/</w:t>
      </w:r>
      <w:proofErr w:type="gramStart"/>
      <w:r>
        <w:t>2013  così</w:t>
      </w:r>
      <w:proofErr w:type="gramEnd"/>
      <w:r>
        <w:t xml:space="preserve"> come modificato dall'art.29 del D.lgs.25 maggio 2016 n. 97  si evidenzia, alla scadenza del trimestre, un ammontare complessivo dei debiti pari a 19.107.354,03. Il numero delle imprese creditrici è di 709.  </w:t>
      </w:r>
      <w:bookmarkStart w:id="0" w:name="_GoBack"/>
      <w:bookmarkEnd w:id="0"/>
    </w:p>
    <w:sectPr w:rsidR="00FD61E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28D"/>
    <w:rsid w:val="00A7228D"/>
    <w:rsid w:val="00FD6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4E1E8A-F663-4249-BD9E-4BFE154F9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Albertino Tomassi</dc:creator>
  <cp:keywords/>
  <dc:description/>
  <cp:lastModifiedBy>Albertino Tomassi</cp:lastModifiedBy>
  <cp:revision>1</cp:revision>
  <dcterms:created xsi:type="dcterms:W3CDTF">2018-05-02T10:52:00Z</dcterms:created>
  <dcterms:modified xsi:type="dcterms:W3CDTF">2018-05-02T10:52:00Z</dcterms:modified>
</cp:coreProperties>
</file>